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6C7" w:rsidRDefault="00E206C7">
      <w:pPr>
        <w:autoSpaceDE w:val="0"/>
        <w:autoSpaceDN w:val="0"/>
        <w:adjustRightInd w:val="0"/>
        <w:jc w:val="center"/>
        <w:rPr>
          <w:rFonts w:ascii="方正仿宋简体" w:eastAsia="方正仿宋简体" w:hAnsiTheme="minorEastAsia" w:cs="仿宋_GB2312"/>
          <w:kern w:val="0"/>
          <w:sz w:val="36"/>
          <w:szCs w:val="36"/>
        </w:rPr>
      </w:pPr>
    </w:p>
    <w:p w:rsidR="00E206C7" w:rsidRDefault="00BA5AE0">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申万菱信沪深300价值交易型开放式指数证券投资基金基金产品资料概要</w:t>
      </w:r>
    </w:p>
    <w:p w:rsidR="00E206C7" w:rsidRDefault="00BA5AE0">
      <w:pPr>
        <w:autoSpaceDE w:val="0"/>
        <w:autoSpaceDN w:val="0"/>
        <w:adjustRightInd w:val="0"/>
        <w:jc w:val="right"/>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编制日期：2023年4月7日</w:t>
      </w:r>
    </w:p>
    <w:p w:rsidR="00E206C7" w:rsidRDefault="00BA5AE0">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送出日期：2023年4月13日</w:t>
      </w:r>
    </w:p>
    <w:p w:rsidR="00E206C7" w:rsidRDefault="00BA5AE0">
      <w:pPr>
        <w:autoSpaceDE w:val="0"/>
        <w:autoSpaceDN w:val="0"/>
        <w:adjustRightInd w:val="0"/>
        <w:spacing w:line="380" w:lineRule="exact"/>
        <w:jc w:val="left"/>
        <w:rPr>
          <w:rFonts w:ascii="方正黑体简体" w:eastAsia="方正黑体简体" w:cs="黑体"/>
          <w:kern w:val="0"/>
          <w:sz w:val="32"/>
          <w:szCs w:val="32"/>
        </w:rPr>
      </w:pPr>
      <w:r>
        <w:rPr>
          <w:rFonts w:ascii="方正黑体简体" w:eastAsia="方正黑体简体" w:cs="黑体" w:hint="eastAsia"/>
          <w:kern w:val="0"/>
          <w:sz w:val="32"/>
          <w:szCs w:val="32"/>
        </w:rPr>
        <w:t>本概要提供本基金的重要信息，是招募说明书的一部分。</w:t>
      </w:r>
    </w:p>
    <w:p w:rsidR="00E206C7" w:rsidRDefault="00BA5AE0">
      <w:pPr>
        <w:autoSpaceDE w:val="0"/>
        <w:autoSpaceDN w:val="0"/>
        <w:adjustRightInd w:val="0"/>
        <w:spacing w:line="380" w:lineRule="exact"/>
        <w:jc w:val="left"/>
        <w:rPr>
          <w:rFonts w:ascii="方正黑体简体" w:eastAsia="方正黑体简体" w:cs="黑体"/>
          <w:kern w:val="0"/>
          <w:sz w:val="32"/>
          <w:szCs w:val="32"/>
        </w:rPr>
      </w:pPr>
      <w:r>
        <w:rPr>
          <w:rFonts w:ascii="方正黑体简体" w:eastAsia="方正黑体简体" w:cs="黑体" w:hint="eastAsia"/>
          <w:kern w:val="0"/>
          <w:sz w:val="32"/>
          <w:szCs w:val="32"/>
        </w:rPr>
        <w:t>作出投资决定前，请阅读完整的招募说明书等销售文件。</w:t>
      </w:r>
    </w:p>
    <w:p w:rsidR="00E206C7" w:rsidRDefault="00BA5AE0">
      <w:pPr>
        <w:numPr>
          <w:ilvl w:val="0"/>
          <w:numId w:val="10"/>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1902"/>
        <w:gridCol w:w="2347"/>
        <w:gridCol w:w="1660"/>
        <w:gridCol w:w="2397"/>
      </w:tblGrid>
      <w:tr w:rsidR="00E206C7" w:rsidTr="00584DC5">
        <w:trPr>
          <w:trHeight w:val="454"/>
        </w:trPr>
        <w:tc>
          <w:tcPr>
            <w:tcW w:w="1145" w:type="pct"/>
            <w:vMerge w:val="restart"/>
            <w:vAlign w:val="center"/>
          </w:tcPr>
          <w:p w:rsidR="00E206C7" w:rsidRDefault="00BA5AE0">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tc>
        <w:tc>
          <w:tcPr>
            <w:tcW w:w="1413" w:type="pct"/>
            <w:vMerge w:val="restart"/>
            <w:vAlign w:val="center"/>
          </w:tcPr>
          <w:p w:rsidR="00E206C7" w:rsidRDefault="00BA5AE0">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申万菱信沪深300价值ETF</w:t>
            </w:r>
          </w:p>
        </w:tc>
        <w:tc>
          <w:tcPr>
            <w:tcW w:w="999" w:type="pct"/>
            <w:vMerge w:val="restart"/>
            <w:vAlign w:val="center"/>
          </w:tcPr>
          <w:p w:rsidR="00E206C7" w:rsidRDefault="00BA5AE0">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rsidR="00E206C7" w:rsidRDefault="00BA5AE0">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560330</w:t>
            </w:r>
          </w:p>
        </w:tc>
      </w:tr>
      <w:tr w:rsidR="00E206C7" w:rsidTr="005F360D">
        <w:trPr>
          <w:trHeight w:val="454"/>
        </w:trPr>
        <w:tc>
          <w:tcPr>
            <w:tcW w:w="1145" w:type="pct"/>
            <w:vAlign w:val="center"/>
          </w:tcPr>
          <w:p w:rsidR="00E206C7" w:rsidRDefault="00BA5AE0">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rsidR="00E206C7" w:rsidRDefault="00BA5AE0">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申万菱信基金管理有限公司</w:t>
            </w:r>
          </w:p>
        </w:tc>
        <w:tc>
          <w:tcPr>
            <w:tcW w:w="999" w:type="pct"/>
            <w:vAlign w:val="center"/>
          </w:tcPr>
          <w:p w:rsidR="00E206C7" w:rsidRDefault="00BA5AE0">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rsidR="00E206C7" w:rsidRDefault="00BA5AE0">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 xml:space="preserve">中国工商银行股份有限公司 </w:t>
            </w:r>
          </w:p>
        </w:tc>
      </w:tr>
      <w:tr w:rsidR="00E206C7" w:rsidTr="005F360D">
        <w:trPr>
          <w:trHeight w:val="454"/>
        </w:trPr>
        <w:tc>
          <w:tcPr>
            <w:tcW w:w="1145" w:type="pct"/>
            <w:vMerge w:val="restart"/>
            <w:vAlign w:val="center"/>
          </w:tcPr>
          <w:p w:rsidR="00E206C7" w:rsidRDefault="00BA5AE0">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Merge w:val="restart"/>
            <w:vAlign w:val="center"/>
          </w:tcPr>
          <w:p w:rsidR="00E206C7" w:rsidRDefault="00BA5AE0">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w:t>
            </w:r>
          </w:p>
        </w:tc>
        <w:tc>
          <w:tcPr>
            <w:tcW w:w="999" w:type="pct"/>
            <w:vMerge w:val="restart"/>
            <w:vAlign w:val="center"/>
          </w:tcPr>
          <w:p w:rsidR="00E206C7" w:rsidRDefault="00BA5AE0">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上市交易所及上市日期</w:t>
            </w:r>
          </w:p>
        </w:tc>
        <w:tc>
          <w:tcPr>
            <w:tcW w:w="1443" w:type="pct"/>
            <w:tcBorders>
              <w:top w:val="dashSmallGap" w:sz="4" w:space="0" w:color="A6A6A6" w:themeColor="background1" w:themeShade="A6"/>
              <w:bottom w:val="nil"/>
            </w:tcBorders>
            <w:vAlign w:val="center"/>
          </w:tcPr>
          <w:p w:rsidR="00E206C7" w:rsidRDefault="00BA5AE0">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 xml:space="preserve">上海证券交易所 </w:t>
            </w:r>
          </w:p>
        </w:tc>
      </w:tr>
      <w:tr w:rsidR="00E206C7" w:rsidTr="005F360D">
        <w:trPr>
          <w:trHeight w:val="454"/>
        </w:trPr>
        <w:tc>
          <w:tcPr>
            <w:tcW w:w="1145" w:type="pct"/>
            <w:vAlign w:val="center"/>
          </w:tcPr>
          <w:p w:rsidR="00E206C7" w:rsidRDefault="00BA5AE0">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rsidR="00E206C7" w:rsidRDefault="00BA5AE0">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股票型</w:t>
            </w:r>
          </w:p>
        </w:tc>
        <w:tc>
          <w:tcPr>
            <w:tcW w:w="999" w:type="pct"/>
            <w:vAlign w:val="center"/>
          </w:tcPr>
          <w:p w:rsidR="00E206C7" w:rsidRDefault="00BA5AE0">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rsidR="00E206C7" w:rsidRDefault="00BA5AE0">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人民币</w:t>
            </w:r>
          </w:p>
        </w:tc>
      </w:tr>
      <w:tr w:rsidR="00E206C7" w:rsidTr="005F360D">
        <w:trPr>
          <w:trHeight w:val="454"/>
        </w:trPr>
        <w:tc>
          <w:tcPr>
            <w:tcW w:w="1145" w:type="pct"/>
            <w:vAlign w:val="center"/>
          </w:tcPr>
          <w:p w:rsidR="00E206C7" w:rsidRDefault="00BA5AE0">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rsidR="00E206C7" w:rsidRDefault="00BA5AE0">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普通开放式</w:t>
            </w:r>
          </w:p>
        </w:tc>
        <w:tc>
          <w:tcPr>
            <w:tcW w:w="999" w:type="pct"/>
            <w:vAlign w:val="center"/>
          </w:tcPr>
          <w:p w:rsidR="00E206C7" w:rsidRDefault="00BA5AE0">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rsidR="00E206C7" w:rsidRDefault="00BA5AE0">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w:t>
            </w:r>
          </w:p>
        </w:tc>
      </w:tr>
      <w:tr w:rsidR="00E206C7" w:rsidTr="005F360D">
        <w:trPr>
          <w:trHeight w:val="454"/>
        </w:trPr>
        <w:tc>
          <w:tcPr>
            <w:tcW w:w="1145" w:type="pct"/>
            <w:vMerge w:val="restart"/>
            <w:vAlign w:val="center"/>
          </w:tcPr>
          <w:p w:rsidR="00E206C7" w:rsidRDefault="00BA5AE0">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rsidR="00E206C7" w:rsidRDefault="00BA5AE0">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王赟杰</w:t>
            </w:r>
          </w:p>
        </w:tc>
        <w:tc>
          <w:tcPr>
            <w:tcW w:w="999" w:type="pct"/>
            <w:vAlign w:val="center"/>
          </w:tcPr>
          <w:p w:rsidR="00E206C7" w:rsidRDefault="00BA5AE0">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rsidR="00E206C7" w:rsidRDefault="00BA5AE0">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w:t>
            </w:r>
          </w:p>
        </w:tc>
      </w:tr>
      <w:tr w:rsidR="00E206C7" w:rsidTr="005F360D">
        <w:trPr>
          <w:trHeight w:val="454"/>
        </w:trPr>
        <w:tc>
          <w:tcPr>
            <w:tcW w:w="1145" w:type="pct"/>
            <w:vMerge/>
            <w:vAlign w:val="center"/>
          </w:tcPr>
          <w:p w:rsidR="00E206C7" w:rsidRDefault="00E206C7">
            <w:pPr>
              <w:spacing w:line="280" w:lineRule="exact"/>
              <w:rPr>
                <w:rFonts w:ascii="方正仿宋简体" w:eastAsia="方正仿宋简体" w:hAnsiTheme="minorEastAsia" w:cs="方正仿宋简体"/>
                <w:b/>
                <w:iCs/>
              </w:rPr>
            </w:pPr>
          </w:p>
        </w:tc>
        <w:tc>
          <w:tcPr>
            <w:tcW w:w="1413" w:type="pct"/>
            <w:vMerge/>
            <w:vAlign w:val="center"/>
          </w:tcPr>
          <w:p w:rsidR="00E206C7" w:rsidRDefault="00E206C7">
            <w:pPr>
              <w:spacing w:line="280" w:lineRule="exact"/>
              <w:rPr>
                <w:rFonts w:ascii="方正仿宋简体" w:eastAsia="方正仿宋简体" w:hAnsiTheme="minorEastAsia" w:cs="方正仿宋简体"/>
                <w:b/>
                <w:iCs/>
              </w:rPr>
            </w:pPr>
          </w:p>
        </w:tc>
        <w:tc>
          <w:tcPr>
            <w:tcW w:w="999" w:type="pct"/>
            <w:vAlign w:val="center"/>
          </w:tcPr>
          <w:p w:rsidR="00E206C7" w:rsidRDefault="00BA5AE0">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rsidR="00E206C7" w:rsidRDefault="00BA5AE0">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2011-07-01</w:t>
            </w:r>
          </w:p>
        </w:tc>
      </w:tr>
      <w:tr w:rsidR="00E206C7" w:rsidTr="005F360D">
        <w:trPr>
          <w:trHeight w:val="454"/>
        </w:trPr>
        <w:tc>
          <w:tcPr>
            <w:tcW w:w="1145" w:type="pct"/>
            <w:vMerge/>
            <w:vAlign w:val="center"/>
          </w:tcPr>
          <w:p w:rsidR="00E206C7" w:rsidRDefault="00BA5AE0">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rsidR="00E206C7" w:rsidRDefault="00BA5AE0">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赵兵</w:t>
            </w:r>
          </w:p>
        </w:tc>
        <w:tc>
          <w:tcPr>
            <w:tcW w:w="999" w:type="pct"/>
            <w:vAlign w:val="center"/>
          </w:tcPr>
          <w:p w:rsidR="00E206C7" w:rsidRDefault="00BA5AE0">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rsidR="00E206C7" w:rsidRDefault="00BA5AE0">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w:t>
            </w:r>
          </w:p>
        </w:tc>
      </w:tr>
      <w:tr w:rsidR="00E206C7" w:rsidTr="005F360D">
        <w:trPr>
          <w:trHeight w:val="454"/>
        </w:trPr>
        <w:tc>
          <w:tcPr>
            <w:tcW w:w="1145" w:type="pct"/>
            <w:vMerge/>
            <w:vAlign w:val="center"/>
          </w:tcPr>
          <w:p w:rsidR="00E206C7" w:rsidRDefault="00E206C7">
            <w:pPr>
              <w:spacing w:line="280" w:lineRule="exact"/>
              <w:rPr>
                <w:rFonts w:ascii="方正仿宋简体" w:eastAsia="方正仿宋简体" w:hAnsiTheme="minorEastAsia" w:cs="方正仿宋简体"/>
                <w:b/>
                <w:iCs/>
              </w:rPr>
            </w:pPr>
          </w:p>
        </w:tc>
        <w:tc>
          <w:tcPr>
            <w:tcW w:w="1413" w:type="pct"/>
            <w:vMerge/>
            <w:vAlign w:val="center"/>
          </w:tcPr>
          <w:p w:rsidR="00E206C7" w:rsidRDefault="00E206C7">
            <w:pPr>
              <w:spacing w:line="280" w:lineRule="exact"/>
              <w:rPr>
                <w:rFonts w:ascii="方正仿宋简体" w:eastAsia="方正仿宋简体" w:hAnsiTheme="minorEastAsia" w:cs="方正仿宋简体"/>
                <w:b/>
                <w:iCs/>
              </w:rPr>
            </w:pPr>
          </w:p>
        </w:tc>
        <w:tc>
          <w:tcPr>
            <w:tcW w:w="999" w:type="pct"/>
            <w:vAlign w:val="center"/>
          </w:tcPr>
          <w:p w:rsidR="00E206C7" w:rsidRDefault="00BA5AE0">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rsidR="00E206C7" w:rsidRDefault="00BA5AE0">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2007-02-01</w:t>
            </w:r>
          </w:p>
        </w:tc>
      </w:tr>
    </w:tbl>
    <w:p w:rsidR="00E206C7" w:rsidRDefault="00E206C7">
      <w:pPr>
        <w:spacing w:line="280" w:lineRule="exact"/>
        <w:rPr>
          <w:rFonts w:ascii="方正仿宋简体" w:eastAsia="方正仿宋简体" w:hAnsiTheme="minorEastAsia" w:cs="仿宋_GB2312"/>
          <w:b/>
          <w:kern w:val="0"/>
          <w:szCs w:val="24"/>
        </w:rPr>
      </w:pPr>
    </w:p>
    <w:p w:rsidR="00E206C7" w:rsidRDefault="00BA5AE0">
      <w:pPr>
        <w:numPr>
          <w:ilvl w:val="0"/>
          <w:numId w:val="10"/>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基金投资与净值表现</w:t>
      </w:r>
    </w:p>
    <w:p w:rsidR="00E206C7" w:rsidRDefault="00BA5AE0">
      <w:pPr>
        <w:pStyle w:val="a8"/>
        <w:numPr>
          <w:ilvl w:val="0"/>
          <w:numId w:val="15"/>
        </w:numPr>
        <w:spacing w:line="28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p w:rsidR="00E206C7" w:rsidRDefault="00BA5AE0">
      <w:pPr>
        <w:spacing w:line="28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请阅读招募说明书第十一部分了解详细情况。</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040"/>
        <w:gridCol w:w="6266"/>
      </w:tblGrid>
      <w:tr w:rsidR="00E206C7" w:rsidTr="0074096A">
        <w:trPr>
          <w:trHeight w:val="454"/>
        </w:trPr>
        <w:tc>
          <w:tcPr>
            <w:tcW w:w="1228" w:type="pct"/>
            <w:vAlign w:val="center"/>
          </w:tcPr>
          <w:p w:rsidR="00E206C7" w:rsidRDefault="00BA5AE0">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772" w:type="pct"/>
            <w:vAlign w:val="center"/>
          </w:tcPr>
          <w:p w:rsidR="00E206C7" w:rsidRDefault="00BA5AE0">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紧密跟踪标的指数，追求跟踪偏离度和跟踪误差的最小化。</w:t>
            </w:r>
          </w:p>
        </w:tc>
      </w:tr>
      <w:tr w:rsidR="00E206C7" w:rsidTr="0074096A">
        <w:trPr>
          <w:trHeight w:val="454"/>
        </w:trPr>
        <w:tc>
          <w:tcPr>
            <w:tcW w:w="1228" w:type="pct"/>
            <w:vAlign w:val="center"/>
          </w:tcPr>
          <w:p w:rsidR="00E206C7" w:rsidRDefault="00BA5AE0">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772" w:type="pct"/>
            <w:vAlign w:val="center"/>
          </w:tcPr>
          <w:p w:rsidR="00E206C7" w:rsidRDefault="00BA5AE0">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本基金主要投资于标的指数成份股和备选成份股。</w:t>
            </w:r>
          </w:p>
          <w:p w:rsidR="00E206C7" w:rsidRDefault="00BA5AE0">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为更好地实现基金的投资目标，本基金可能会少量投资于国内依法发行上市的非成份股（包括主板、创业板及其他依法发行、上市的股票及存托凭证）、债券（含国债、央行票据、金融债、次级债、企业债、公司债、短期融资券、超短期融资券、中期票据、可转债及分离交易可转债、可交换债券、地方政府债等）、货币市场工具、债券回购、银行存款、同业存单、股指期货、国债期货、股票期权、资产支持证券以及法律法规或中国证监会允许基金投资的其他金融工具（但须符合中国证监会的相关规定）。</w:t>
            </w:r>
          </w:p>
          <w:p w:rsidR="00E206C7" w:rsidRDefault="00BA5AE0">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本基金可以参与融资和转融通证券出借业务。</w:t>
            </w:r>
          </w:p>
          <w:p w:rsidR="00E206C7" w:rsidRDefault="00BA5AE0">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如法律法规或监管机构以后允许基金投资其他品种，基金管理人在履行适当程序后，可以将其纳入投资范围。</w:t>
            </w:r>
          </w:p>
          <w:p w:rsidR="00E206C7" w:rsidRDefault="00BA5AE0">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lastRenderedPageBreak/>
              <w:t>在建仓完成后，本基金投资于标的指数成份股和备选成份股的资产比例不低于基金资产净值的90%，且不低于非现金基金资产的80%。每个交易日日终，在扣除股指期货、国债期货合约需缴纳的交易保证金以及股票期权合约需缴纳的现金保证金后，应当保持不低于交易保证金一倍的现金，其中现金不包括结算备付金、存出保证金及应收申购款等。</w:t>
            </w:r>
          </w:p>
          <w:p w:rsidR="00E206C7" w:rsidRDefault="00BA5AE0">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如法律法规或中国证监会变更投资品种的投资比例限制，基金管理人在履行适当程序后，可以调整上述投资品种的投资比例。</w:t>
            </w:r>
          </w:p>
        </w:tc>
      </w:tr>
      <w:tr w:rsidR="00E206C7" w:rsidTr="0074096A">
        <w:trPr>
          <w:trHeight w:val="454"/>
        </w:trPr>
        <w:tc>
          <w:tcPr>
            <w:tcW w:w="1228" w:type="pct"/>
            <w:vAlign w:val="center"/>
          </w:tcPr>
          <w:p w:rsidR="00E206C7" w:rsidRDefault="00BA5AE0">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lastRenderedPageBreak/>
              <w:t>主要投资策略</w:t>
            </w:r>
          </w:p>
        </w:tc>
        <w:tc>
          <w:tcPr>
            <w:tcW w:w="3772" w:type="pct"/>
            <w:vAlign w:val="center"/>
          </w:tcPr>
          <w:p w:rsidR="00E206C7" w:rsidRDefault="00BA5AE0">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主要采取完全复制法，即完全按照标的指数的成份股组成及其权重构建基金股票投资组合，并根据标的指数成份股及其权重的变动而进行相应调整。但在因特殊情况（如流动性不足）导致无法有效复制和跟踪标的指数时，基金管理人可以使用其他合理方法进行适当的替代。</w:t>
            </w:r>
          </w:p>
          <w:p w:rsidR="00E206C7" w:rsidRDefault="00BA5AE0">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特殊情况包括但不限于以下情形：（1）法律法规的限制；（2）标的指数成份股流动性严重不足；（3）标的指数的成份股票长期停牌；（4）其它合理原因导致本基金管理人对标的指数的跟踪构成严重制约等。</w:t>
            </w:r>
          </w:p>
          <w:p w:rsidR="00E206C7" w:rsidRDefault="00BA5AE0">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在正常市场情况下，本基金的风险控制目标是追求日均跟踪偏离度的绝对值争取不超过0.2%，年跟踪误差争取不超过2%。如因标的指数编制规则调整等其他原因，导致基金跟踪偏离度和跟踪误差超过了上述范围，基金管理人应采取合理措施，避免跟踪偏离度和跟踪误差的进一步扩大。</w:t>
            </w:r>
          </w:p>
        </w:tc>
      </w:tr>
      <w:tr w:rsidR="00E206C7" w:rsidTr="0074096A">
        <w:trPr>
          <w:trHeight w:val="454"/>
        </w:trPr>
        <w:tc>
          <w:tcPr>
            <w:tcW w:w="1228" w:type="pct"/>
            <w:vAlign w:val="center"/>
          </w:tcPr>
          <w:p w:rsidR="00E206C7" w:rsidRDefault="00BA5AE0">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772" w:type="pct"/>
            <w:vAlign w:val="center"/>
          </w:tcPr>
          <w:p w:rsidR="00E206C7" w:rsidRDefault="00BA5AE0">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沪深300价值指数收益率</w:t>
            </w:r>
          </w:p>
        </w:tc>
      </w:tr>
      <w:tr w:rsidR="00E206C7" w:rsidTr="0074096A">
        <w:trPr>
          <w:trHeight w:val="454"/>
        </w:trPr>
        <w:tc>
          <w:tcPr>
            <w:tcW w:w="1228" w:type="pct"/>
            <w:vAlign w:val="center"/>
          </w:tcPr>
          <w:p w:rsidR="00E206C7" w:rsidRDefault="00BA5AE0">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772" w:type="pct"/>
            <w:vAlign w:val="center"/>
          </w:tcPr>
          <w:p w:rsidR="00E206C7" w:rsidRDefault="00BA5AE0">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本基金属于股票型基金，其预期收益及预期风险水平高于混合型基金、债券型基金与货币市场基金。</w:t>
            </w:r>
          </w:p>
          <w:p w:rsidR="00E206C7" w:rsidRDefault="00BA5AE0">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本基金为被动式投资的股票型指数基金，主要采用完全复制策略，跟踪沪深300价值指数，其风险收益特征与标的指数所表征的市场组合的风险收益特征相似。</w:t>
            </w:r>
          </w:p>
        </w:tc>
      </w:tr>
    </w:tbl>
    <w:p w:rsidR="00E206C7" w:rsidRDefault="00E206C7">
      <w:pPr>
        <w:spacing w:line="280" w:lineRule="exact"/>
        <w:rPr>
          <w:rFonts w:ascii="方正仿宋简体" w:eastAsia="方正仿宋简体" w:hAnsiTheme="minorEastAsia" w:cs="仿宋_GB2312"/>
          <w:kern w:val="0"/>
          <w:szCs w:val="24"/>
        </w:rPr>
      </w:pPr>
    </w:p>
    <w:p w:rsidR="00E206C7" w:rsidRDefault="00BA5AE0">
      <w:pPr>
        <w:pStyle w:val="a8"/>
        <w:numPr>
          <w:ilvl w:val="0"/>
          <w:numId w:val="15"/>
        </w:numPr>
        <w:spacing w:line="28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投资组合资产配置图表/区域配置图表</w:t>
      </w:r>
    </w:p>
    <w:p w:rsidR="00E206C7" w:rsidRDefault="00BA5AE0">
      <w:pPr>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rsidR="00E206C7" w:rsidRDefault="00BA5AE0">
      <w:pPr>
        <w:jc w:val="left"/>
        <w:rPr>
          <w:rFonts w:ascii="方正仿宋简体" w:eastAsia="方正仿宋简体" w:hAnsi="方正仿宋简体" w:cs="方正仿宋简体"/>
          <w:b/>
          <w:iCs/>
          <w:sz w:val="24"/>
          <w:szCs w:val="24"/>
        </w:rPr>
      </w:pPr>
      <w:r>
        <w:rPr>
          <w:rFonts w:ascii="方正仿宋简体" w:eastAsia="方正仿宋简体"/>
          <w:color w:val="000000" w:themeColor="text1"/>
        </w:rPr>
        <w:t>无。</w:t>
      </w:r>
    </w:p>
    <w:p w:rsidR="00E206C7" w:rsidRDefault="00BA5AE0">
      <w:pPr>
        <w:pStyle w:val="a8"/>
        <w:numPr>
          <w:ilvl w:val="0"/>
          <w:numId w:val="15"/>
        </w:numPr>
        <w:spacing w:line="28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自基金合同生效以来基金每年的净值增长率及与同期业绩比较基准的比较图</w:t>
      </w:r>
    </w:p>
    <w:p w:rsidR="00E206C7" w:rsidRDefault="00BA5AE0">
      <w:pPr>
        <w:autoSpaceDE w:val="0"/>
        <w:autoSpaceDN w:val="0"/>
        <w:adjustRightInd w:val="0"/>
        <w:spacing w:line="280" w:lineRule="exact"/>
        <w:jc w:val="left"/>
        <w:rPr>
          <w:rFonts w:ascii="方正仿宋简体" w:eastAsia="方正仿宋简体" w:hAnsiTheme="minorEastAsia"/>
          <w:color w:val="000000" w:themeColor="text1"/>
        </w:rPr>
      </w:pPr>
      <w:r>
        <w:t>无。</w:t>
      </w:r>
      <w:r>
        <w:rPr>
          <w:rFonts w:ascii="方正仿宋简体" w:eastAsia="方正仿宋简体" w:hAnsiTheme="minorEastAsia" w:hint="eastAsia"/>
          <w:color w:val="000000" w:themeColor="text1"/>
        </w:rPr>
        <w:t xml:space="preserve"> </w:t>
      </w:r>
    </w:p>
    <w:p w:rsidR="00E206C7" w:rsidRDefault="00E206C7">
      <w:pPr>
        <w:spacing w:line="280" w:lineRule="exact"/>
        <w:ind w:firstLine="420"/>
        <w:rPr>
          <w:rFonts w:ascii="方正仿宋简体" w:eastAsia="方正仿宋简体" w:hAnsi="方正仿宋简体" w:cs="方正仿宋简体"/>
          <w:iCs/>
        </w:rPr>
      </w:pPr>
    </w:p>
    <w:p w:rsidR="00E206C7" w:rsidRDefault="00BA5AE0">
      <w:pPr>
        <w:numPr>
          <w:ilvl w:val="0"/>
          <w:numId w:val="10"/>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rsidR="00E206C7" w:rsidRDefault="00BA5AE0">
      <w:pPr>
        <w:pStyle w:val="a8"/>
        <w:numPr>
          <w:ilvl w:val="0"/>
          <w:numId w:val="25"/>
        </w:numPr>
        <w:spacing w:line="34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rsidR="00E206C7" w:rsidRDefault="00BA5AE0">
      <w:pPr>
        <w:spacing w:line="28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以下费用在认购/申购/赎回基金过程中收取：</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277"/>
        <w:gridCol w:w="3259"/>
        <w:gridCol w:w="1934"/>
        <w:gridCol w:w="836"/>
      </w:tblGrid>
      <w:tr w:rsidR="00E206C7" w:rsidTr="0074096A">
        <w:trPr>
          <w:trHeight w:val="454"/>
        </w:trPr>
        <w:tc>
          <w:tcPr>
            <w:tcW w:w="1371" w:type="pct"/>
            <w:vAlign w:val="center"/>
          </w:tcPr>
          <w:p w:rsidR="00E206C7" w:rsidRDefault="00BA5AE0">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费用类型</w:t>
            </w:r>
          </w:p>
        </w:tc>
        <w:tc>
          <w:tcPr>
            <w:tcW w:w="1962" w:type="pct"/>
            <w:vAlign w:val="center"/>
          </w:tcPr>
          <w:p w:rsidR="00E206C7" w:rsidRDefault="00BA5AE0">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份额（S）或金额（M）</w:t>
            </w:r>
          </w:p>
          <w:p w:rsidR="00E206C7" w:rsidRDefault="00BA5AE0">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/持有期限（N）</w:t>
            </w:r>
          </w:p>
        </w:tc>
        <w:tc>
          <w:tcPr>
            <w:tcW w:w="1164" w:type="pct"/>
            <w:vAlign w:val="center"/>
          </w:tcPr>
          <w:p w:rsidR="00E206C7" w:rsidRDefault="00BA5AE0">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收费方式/费率</w:t>
            </w:r>
          </w:p>
        </w:tc>
        <w:tc>
          <w:tcPr>
            <w:tcW w:w="503" w:type="pct"/>
            <w:vAlign w:val="center"/>
          </w:tcPr>
          <w:p w:rsidR="00E206C7" w:rsidRDefault="00BA5AE0">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备注</w:t>
            </w:r>
          </w:p>
        </w:tc>
      </w:tr>
      <w:tr w:rsidR="00E206C7" w:rsidTr="0074096A">
        <w:trPr>
          <w:trHeight w:val="454"/>
        </w:trPr>
        <w:tc>
          <w:tcPr>
            <w:tcW w:w="1371" w:type="pct"/>
            <w:vMerge w:val="restart"/>
            <w:vAlign w:val="center"/>
          </w:tcPr>
          <w:p w:rsidR="00E206C7" w:rsidRDefault="00BA5AE0">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认购费</w:t>
            </w:r>
          </w:p>
        </w:tc>
        <w:tc>
          <w:tcPr>
            <w:tcW w:w="1962" w:type="pct"/>
            <w:vAlign w:val="center"/>
          </w:tcPr>
          <w:p w:rsidR="00E206C7" w:rsidRDefault="00BA5AE0">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S &lt; 50万份</w:t>
            </w:r>
          </w:p>
        </w:tc>
        <w:tc>
          <w:tcPr>
            <w:tcW w:w="1164" w:type="pct"/>
            <w:vAlign w:val="center"/>
          </w:tcPr>
          <w:p w:rsidR="00E206C7" w:rsidRDefault="00BA5AE0">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0.08%  </w:t>
            </w:r>
          </w:p>
        </w:tc>
        <w:tc>
          <w:tcPr>
            <w:tcW w:w="503" w:type="pct"/>
            <w:vAlign w:val="center"/>
          </w:tcPr>
          <w:p w:rsidR="00E206C7" w:rsidRDefault="00E206C7">
            <w:pPr>
              <w:spacing w:line="280" w:lineRule="exact"/>
              <w:jc w:val="center"/>
              <w:rPr>
                <w:rFonts w:ascii="方正仿宋简体" w:eastAsia="方正仿宋简体" w:hAnsi="方正仿宋简体" w:cs="方正仿宋简体"/>
                <w:bCs/>
                <w:iCs/>
              </w:rPr>
            </w:pPr>
          </w:p>
        </w:tc>
      </w:tr>
      <w:tr w:rsidR="00E206C7" w:rsidTr="0074096A">
        <w:trPr>
          <w:trHeight w:val="454"/>
        </w:trPr>
        <w:tc>
          <w:tcPr>
            <w:tcW w:w="1371" w:type="pct"/>
            <w:vMerge/>
            <w:vAlign w:val="center"/>
          </w:tcPr>
          <w:p w:rsidR="00E206C7" w:rsidRDefault="00BA5AE0">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认购费</w:t>
            </w:r>
          </w:p>
        </w:tc>
        <w:tc>
          <w:tcPr>
            <w:tcW w:w="1962" w:type="pct"/>
            <w:vAlign w:val="center"/>
          </w:tcPr>
          <w:p w:rsidR="00E206C7" w:rsidRDefault="00BA5AE0">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50万份 ≤ S &lt; 100万份</w:t>
            </w:r>
          </w:p>
        </w:tc>
        <w:tc>
          <w:tcPr>
            <w:tcW w:w="1164" w:type="pct"/>
            <w:vAlign w:val="center"/>
          </w:tcPr>
          <w:p w:rsidR="00E206C7" w:rsidRDefault="00BA5AE0">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0.05%  </w:t>
            </w:r>
          </w:p>
        </w:tc>
        <w:tc>
          <w:tcPr>
            <w:tcW w:w="503" w:type="pct"/>
            <w:vAlign w:val="center"/>
          </w:tcPr>
          <w:p w:rsidR="00E206C7" w:rsidRDefault="00E206C7">
            <w:pPr>
              <w:spacing w:line="280" w:lineRule="exact"/>
              <w:jc w:val="center"/>
              <w:rPr>
                <w:rFonts w:ascii="方正仿宋简体" w:eastAsia="方正仿宋简体" w:hAnsi="方正仿宋简体" w:cs="方正仿宋简体"/>
                <w:bCs/>
                <w:iCs/>
              </w:rPr>
            </w:pPr>
          </w:p>
        </w:tc>
      </w:tr>
      <w:tr w:rsidR="00E206C7" w:rsidTr="0074096A">
        <w:trPr>
          <w:trHeight w:val="454"/>
        </w:trPr>
        <w:tc>
          <w:tcPr>
            <w:tcW w:w="1371" w:type="pct"/>
            <w:vMerge/>
            <w:vAlign w:val="center"/>
          </w:tcPr>
          <w:p w:rsidR="00E206C7" w:rsidRDefault="00BA5AE0">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认购费</w:t>
            </w:r>
          </w:p>
        </w:tc>
        <w:tc>
          <w:tcPr>
            <w:tcW w:w="1962" w:type="pct"/>
            <w:vAlign w:val="center"/>
          </w:tcPr>
          <w:p w:rsidR="00E206C7" w:rsidRDefault="00BA5AE0">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S ≥ 100万份</w:t>
            </w:r>
          </w:p>
        </w:tc>
        <w:tc>
          <w:tcPr>
            <w:tcW w:w="1164" w:type="pct"/>
            <w:vAlign w:val="center"/>
          </w:tcPr>
          <w:p w:rsidR="00E206C7" w:rsidRDefault="00BA5AE0">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  500元/笔</w:t>
            </w:r>
          </w:p>
        </w:tc>
        <w:tc>
          <w:tcPr>
            <w:tcW w:w="503" w:type="pct"/>
            <w:vAlign w:val="center"/>
          </w:tcPr>
          <w:p w:rsidR="00E206C7" w:rsidRDefault="00E206C7">
            <w:pPr>
              <w:spacing w:line="280" w:lineRule="exact"/>
              <w:jc w:val="center"/>
              <w:rPr>
                <w:rFonts w:ascii="方正仿宋简体" w:eastAsia="方正仿宋简体" w:hAnsi="方正仿宋简体" w:cs="方正仿宋简体"/>
                <w:bCs/>
                <w:iCs/>
              </w:rPr>
            </w:pPr>
          </w:p>
        </w:tc>
      </w:tr>
    </w:tbl>
    <w:p w:rsidR="00E206C7" w:rsidRDefault="00BA5AE0">
      <w:pPr>
        <w:spacing w:line="280" w:lineRule="exact"/>
        <w:rPr>
          <w:rFonts w:ascii="方正仿宋简体" w:eastAsia="方正仿宋简体" w:hAnsiTheme="minorEastAsia"/>
          <w:b/>
          <w:color w:val="000000"/>
        </w:rPr>
      </w:pPr>
      <w:r>
        <w:rPr>
          <w:rFonts w:ascii="方正仿宋简体" w:eastAsia="方正仿宋简体" w:hAnsiTheme="minorEastAsia" w:hint="eastAsia"/>
          <w:b/>
          <w:color w:val="000000"/>
        </w:rPr>
        <w:t>认购费：</w:t>
      </w:r>
    </w:p>
    <w:p w:rsidR="00E206C7" w:rsidRDefault="00BA5AE0">
      <w:pPr>
        <w:spacing w:line="280" w:lineRule="exact"/>
        <w:rPr>
          <w:rFonts w:ascii="方正仿宋简体" w:eastAsia="方正仿宋简体" w:hAnsiTheme="minorEastAsia"/>
          <w:color w:val="000000"/>
        </w:rPr>
      </w:pPr>
      <w:r>
        <w:rPr>
          <w:rFonts w:ascii="方正仿宋简体" w:eastAsia="方正仿宋简体" w:hAnsiTheme="minorEastAsia" w:hint="eastAsia"/>
          <w:color w:val="000000"/>
        </w:rPr>
        <w:t>基金管理人办理网下现金和网下股票认购时按照上表所示费率收取认购费用。发售机构办理</w:t>
      </w:r>
      <w:r>
        <w:rPr>
          <w:rFonts w:ascii="方正仿宋简体" w:eastAsia="方正仿宋简体" w:hAnsiTheme="minorEastAsia" w:hint="eastAsia"/>
          <w:color w:val="000000"/>
        </w:rPr>
        <w:lastRenderedPageBreak/>
        <w:t>网上现金认购、网下现金认购、网下股票认购时可参照上述费率结构，按照不超过认购份额0.08%的标准收取一定的佣金。</w:t>
      </w:r>
    </w:p>
    <w:p w:rsidR="00E206C7" w:rsidRDefault="00BA5AE0">
      <w:pPr>
        <w:spacing w:line="280" w:lineRule="exact"/>
        <w:rPr>
          <w:rFonts w:ascii="方正仿宋简体" w:eastAsia="方正仿宋简体" w:hAnsiTheme="minorEastAsia"/>
          <w:b/>
          <w:color w:val="000000"/>
        </w:rPr>
      </w:pPr>
      <w:r>
        <w:rPr>
          <w:rFonts w:ascii="方正仿宋简体" w:eastAsia="方正仿宋简体" w:hAnsiTheme="minorEastAsia" w:hint="eastAsia"/>
          <w:b/>
          <w:color w:val="000000"/>
        </w:rPr>
        <w:t>申购费：</w:t>
      </w:r>
    </w:p>
    <w:p w:rsidR="00E206C7" w:rsidRDefault="00BA5AE0">
      <w:pPr>
        <w:spacing w:line="280" w:lineRule="exact"/>
        <w:rPr>
          <w:rFonts w:ascii="方正仿宋简体" w:eastAsia="方正仿宋简体" w:hAnsiTheme="minorEastAsia"/>
          <w:color w:val="000000"/>
        </w:rPr>
      </w:pPr>
      <w:r>
        <w:rPr>
          <w:rFonts w:ascii="方正仿宋简体" w:eastAsia="方正仿宋简体" w:hAnsiTheme="minorEastAsia" w:hint="eastAsia"/>
          <w:color w:val="000000"/>
        </w:rPr>
        <w:t>投资者在申购基金份额时，申购代理券商可以按照不超过0.5%的标准收取佣金。</w:t>
      </w:r>
    </w:p>
    <w:p w:rsidR="00E206C7" w:rsidRDefault="00BA5AE0">
      <w:pPr>
        <w:spacing w:line="280" w:lineRule="exact"/>
        <w:rPr>
          <w:rFonts w:ascii="方正仿宋简体" w:eastAsia="方正仿宋简体" w:hAnsiTheme="minorEastAsia"/>
          <w:b/>
          <w:color w:val="000000"/>
        </w:rPr>
      </w:pPr>
      <w:r>
        <w:rPr>
          <w:rFonts w:ascii="方正仿宋简体" w:eastAsia="方正仿宋简体" w:hAnsiTheme="minorEastAsia" w:hint="eastAsia"/>
          <w:b/>
          <w:color w:val="000000"/>
        </w:rPr>
        <w:t>赎回费：</w:t>
      </w:r>
    </w:p>
    <w:p w:rsidR="00E206C7" w:rsidRDefault="00BA5AE0">
      <w:pPr>
        <w:spacing w:line="280" w:lineRule="exact"/>
        <w:rPr>
          <w:rFonts w:ascii="方正仿宋简体" w:eastAsia="方正仿宋简体" w:hAnsiTheme="minorEastAsia"/>
          <w:color w:val="000000"/>
        </w:rPr>
      </w:pPr>
      <w:r>
        <w:rPr>
          <w:rFonts w:ascii="方正仿宋简体" w:eastAsia="方正仿宋简体" w:hAnsiTheme="minorEastAsia" w:hint="eastAsia"/>
          <w:color w:val="000000"/>
        </w:rPr>
        <w:t>投资者在赎回基金份额时，赎回代理券商可以按照不超过0.5%的标准收取佣金。</w:t>
      </w:r>
    </w:p>
    <w:p w:rsidR="00E206C7" w:rsidRDefault="00E206C7">
      <w:pPr>
        <w:spacing w:line="280" w:lineRule="exact"/>
        <w:rPr>
          <w:rFonts w:ascii="方正仿宋简体" w:eastAsia="方正仿宋简体" w:hAnsiTheme="minorEastAsia" w:cs="方正仿宋简体"/>
          <w:b/>
          <w:iCs/>
          <w:sz w:val="24"/>
          <w:szCs w:val="24"/>
        </w:rPr>
      </w:pPr>
    </w:p>
    <w:p w:rsidR="00E206C7" w:rsidRDefault="00BA5AE0">
      <w:pPr>
        <w:spacing w:line="280" w:lineRule="exact"/>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（二）基金运作相关费用</w:t>
      </w:r>
    </w:p>
    <w:p w:rsidR="00E206C7" w:rsidRDefault="00BA5AE0">
      <w:pPr>
        <w:autoSpaceDE w:val="0"/>
        <w:autoSpaceDN w:val="0"/>
        <w:adjustRightInd w:val="0"/>
        <w:spacing w:line="28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454"/>
        <w:gridCol w:w="5852"/>
      </w:tblGrid>
      <w:tr w:rsidR="00E206C7" w:rsidTr="00A1474F">
        <w:trPr>
          <w:trHeight w:val="454"/>
        </w:trPr>
        <w:tc>
          <w:tcPr>
            <w:tcW w:w="1477" w:type="pct"/>
            <w:vAlign w:val="center"/>
          </w:tcPr>
          <w:p w:rsidR="00E206C7" w:rsidRDefault="00BA5AE0">
            <w:pPr>
              <w:spacing w:line="28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3523" w:type="pct"/>
            <w:vAlign w:val="center"/>
          </w:tcPr>
          <w:p w:rsidR="00E206C7" w:rsidRDefault="00BA5AE0">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收费方式/年费率</w:t>
            </w:r>
          </w:p>
        </w:tc>
      </w:tr>
      <w:tr w:rsidR="00E206C7" w:rsidTr="00A1474F">
        <w:trPr>
          <w:trHeight w:val="454"/>
        </w:trPr>
        <w:tc>
          <w:tcPr>
            <w:tcW w:w="1477" w:type="pct"/>
            <w:vAlign w:val="center"/>
          </w:tcPr>
          <w:p w:rsidR="00E206C7" w:rsidRDefault="00BA5AE0">
            <w:pPr>
              <w:spacing w:line="28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3523" w:type="pct"/>
            <w:vAlign w:val="center"/>
          </w:tcPr>
          <w:p w:rsidR="00E206C7" w:rsidRDefault="00BA5AE0">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0.50%</w:t>
            </w:r>
          </w:p>
        </w:tc>
      </w:tr>
      <w:tr w:rsidR="00E206C7" w:rsidTr="00A1474F">
        <w:trPr>
          <w:trHeight w:val="454"/>
        </w:trPr>
        <w:tc>
          <w:tcPr>
            <w:tcW w:w="1477" w:type="pct"/>
            <w:vAlign w:val="center"/>
          </w:tcPr>
          <w:p w:rsidR="00E206C7" w:rsidRDefault="00BA5AE0">
            <w:pPr>
              <w:spacing w:line="28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3523" w:type="pct"/>
            <w:vAlign w:val="center"/>
          </w:tcPr>
          <w:p w:rsidR="00E206C7" w:rsidRDefault="00BA5AE0">
            <w:pPr>
              <w:spacing w:line="28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 xml:space="preserve"> 0.10%</w:t>
            </w:r>
          </w:p>
        </w:tc>
      </w:tr>
    </w:tbl>
    <w:p w:rsidR="00E206C7" w:rsidRDefault="00BA5AE0">
      <w:pPr>
        <w:autoSpaceDE w:val="0"/>
        <w:autoSpaceDN w:val="0"/>
        <w:adjustRightInd w:val="0"/>
        <w:spacing w:line="280" w:lineRule="exact"/>
        <w:jc w:val="lef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注： 1、信息披露费用、会计师费和律师费及按照国家有关规定和《基金合同》约定，可以在基金资产中列支的其他费用。</w:t>
      </w:r>
      <w:r>
        <w:rPr>
          <w:rFonts w:ascii="方正仿宋简体" w:eastAsia="方正仿宋简体" w:hAnsi="方正仿宋简体" w:cs="方正仿宋简体" w:hint="eastAsia"/>
          <w:bCs/>
          <w:iCs/>
        </w:rPr>
        <w:br/>
        <w:t>2、本基金交易证券、基金等产生的费用和税负，按实际发生额从基金资产扣除。</w:t>
      </w:r>
    </w:p>
    <w:p w:rsidR="00E206C7" w:rsidRDefault="00E206C7">
      <w:pPr>
        <w:autoSpaceDE w:val="0"/>
        <w:autoSpaceDN w:val="0"/>
        <w:adjustRightInd w:val="0"/>
        <w:spacing w:line="280" w:lineRule="exact"/>
        <w:jc w:val="left"/>
        <w:rPr>
          <w:rFonts w:ascii="方正仿宋简体" w:eastAsia="方正仿宋简体" w:hAnsiTheme="minorEastAsia" w:cs="仿宋_GB2312"/>
          <w:kern w:val="0"/>
          <w:szCs w:val="24"/>
        </w:rPr>
      </w:pPr>
    </w:p>
    <w:p w:rsidR="00E206C7" w:rsidRDefault="00BA5AE0">
      <w:pPr>
        <w:numPr>
          <w:ilvl w:val="0"/>
          <w:numId w:val="10"/>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rsidR="00E206C7" w:rsidRDefault="00BA5AE0">
      <w:pPr>
        <w:spacing w:line="280" w:lineRule="exact"/>
        <w:outlineLvl w:val="1"/>
        <w:rPr>
          <w:rFonts w:ascii="方正仿宋简体" w:eastAsia="方正仿宋简体" w:hAnsi="宋体"/>
          <w:color w:val="0000FF"/>
          <w:kern w:val="0"/>
          <w:sz w:val="18"/>
        </w:rPr>
      </w:pPr>
      <w:r>
        <w:rPr>
          <w:rFonts w:ascii="方正仿宋简体" w:eastAsia="方正仿宋简体" w:hAnsi="方正仿宋简体" w:cs="方正仿宋简体" w:hint="eastAsia"/>
          <w:b/>
          <w:bCs/>
          <w:iCs/>
          <w:sz w:val="24"/>
          <w:szCs w:val="24"/>
        </w:rPr>
        <w:t>（一）风险揭示</w:t>
      </w:r>
    </w:p>
    <w:p w:rsidR="00E206C7" w:rsidRDefault="00D54E79">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rsidR="00E206C7" w:rsidRDefault="00D54E79">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w:p w:rsidR="00E206C7" w:rsidRDefault="00D54E79">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本基金面临的主要风险有： </w:t>
      </w:r>
    </w:p>
    <w:p w:rsidR="00E206C7" w:rsidRDefault="00D54E79">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1、本基金特有的风险</w:t>
      </w:r>
    </w:p>
    <w:p w:rsidR="00E206C7" w:rsidRDefault="00D54E79">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1）本基金采用指数投资，本基金的标的指数成分股的价格可能受到各种因素的影响而波动，从而可能使得基金收益水平发生变化，产生风险；本基金的跟踪标的可能因调整成分股、变更编制方法、配股、增发、派发红利、停牌、摘牌、退市等各种因素使得本基金在投资过程中产生基金投资组合收益率与标的指数收益率偏离的风险。另外，本基金可能出现变更标的指数的情形，调整后本基金的收益风险特征将与新的标的指数保持一致，投资者须承担此项调整带来的风险与成本。本基金因标的指数编制规则调整或其他因素可能导致跟踪误差控制未达约定目标的风险；本基金因可能面临因指数编制机构停止服务而导致投资人将面临更换基金标的指数、转换运作方式，与其他基金合并、或者终止基金合同、指数表现与相关市场表现存在差异等风险；本基金可能因成份股停牌而导致跟踪偏离度和跟踪误差扩大、影响投资者的投资损益或基金可能无法及时卖出成份股以支付投资人的赎回申请。</w:t>
      </w:r>
    </w:p>
    <w:p w:rsidR="00E206C7" w:rsidRDefault="00D54E79">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2）ETF基金的特定风险，本基金的基金份额参考净值（IOPV）与实时的基金份额净值可能存在差异或计算错误，由此导致投资人的损失需由投资人自行承担；因申购时未能提供申购对价或赎回时持有基金份额或现金不足或组合中不具备组合的赎回对价均可能产生投资者申赎失败的风险；基金份额赎回对价的因市场或流动性变化等原因存在变现风险；因申购赎回清单差错，正常申赎将受影响，可能使得投资人利益受损；因证券市场的交易机制和技术约束，完成套利需要一定的时间，因此存在一定的套利风险；以及因本基金的多项服务委托第三方机构办理，因各种原因导致第三方机构的代理服务、结算制度或方式、第三方机构的违约均可能使投资者利益受损，因此存在第三方机构服务的风险；由于本基金的基金份额在证券交易所的交易价格受诸多因素影响，存在不同于基金份额净值的情形，因此存在折溢价的风险；当本基金不再符合证券交易所上市条件被终止上市，或被基金份额持有人大会决议提前终止上市，导致基金份额不能继续进行二级市场交易，因此存在退市风险。本基金“退补现金替代”方式可能给申购和赎回投资人带来价格的不确定性风险。</w:t>
      </w:r>
    </w:p>
    <w:p w:rsidR="00E206C7" w:rsidRDefault="00D54E79">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3）本基金可投资于金融期货，投资过程中因采取保证金交易，风险较现货市场更高，极端情况下期货市场波动可能对基金资产造成不良影响，因而存在一定的市场风险；因市况急剧走向某个极端或进行了某种特殊交易但不能如愿处理资产，或因无法缴足保证金的资金</w:t>
      </w:r>
      <w:r>
        <w:rPr>
          <w:rFonts w:ascii="方正仿宋简体" w:eastAsia="方正仿宋简体" w:hAnsi="方正仿宋简体" w:cs="方正仿宋简体" w:hint="eastAsia"/>
          <w:iCs/>
        </w:rPr>
        <w:lastRenderedPageBreak/>
        <w:t>而存在一定的流动性风险等；国债期货因交割成本提高、临近交割期最便宜可交割券流动性不足或卖方未能在规定时间内如数交付而带来交割风险；</w:t>
      </w:r>
    </w:p>
    <w:p w:rsidR="00E206C7" w:rsidRDefault="00D54E79">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4）本基金可投资股票期权，其市值将会受到合约、标的物或市场等多个因素的影响，在极端情况下可能会给基金资产造成不良影响，因而存在一定的市场风险；因未能及时准备好足额的资金或者证券，构成行权资金交收违约或者行权证券交割违约而存在一定的行权风险；因无法及时建立或了结头寸，无法缴足保证金而存在一定的流动性风险等</w:t>
      </w:r>
    </w:p>
    <w:p w:rsidR="00E206C7" w:rsidRDefault="00D54E79">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5）本基金可投资资产支持证券，在投资过程中可能存在因债务人的违约或交收违约、资产支持证券信用质量降低而产生的信用风险，因利率变化等原因债务人进行提前偿付而导致的提前偿付风险，因市场交易不活跃而导致的流动性风险等，由此可能造成基金财产损失。</w:t>
      </w:r>
    </w:p>
    <w:p w:rsidR="00E206C7" w:rsidRDefault="00D54E79">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6）本基金可参与融资业务。因融资业务具有杠杆效应，可能放大投资损失，且市场利率的变动、外部监管等均会对融资业务造成影响，因此存在一定的市场风险；因基金不能按照约定的期限清偿债务或不能按照约定的时间追加担保物时将会面临强制平仓，因而存在一定的流动性风险；因对手方证券公司因各种原因而没有或无法履行融资合同义务，可能会给基金资产造成不良影响，因此存在一定的信用风险。</w:t>
      </w:r>
    </w:p>
    <w:p w:rsidR="00E206C7" w:rsidRDefault="00D54E79">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7）本基金可投资转融通业务。主要将面临因证券出借而无法及时变现支付赎回款项的流动性风险；因证券出借对手方无法及时归还证券、无法支付相应权益补偿及借券费用的信用风险；以及因证券出街后可能面临证券出借期无法及时处置证券的市场风险。</w:t>
      </w:r>
    </w:p>
    <w:p w:rsidR="00E206C7" w:rsidRDefault="00D54E79">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8）本基金可投资存托凭证。CDR交易价格存在大幅波动的风险。本基金作为存托凭证持有人并不等同于直接持有境外基础证券。本基金无法单独要求红筹公司或者存托人对存托协议作出额外修改。存托凭证项目内容可能发生重大、实质变化，部分变化可能仅以事先通知的方式即对基金生效。存托凭证如退市，本基金可能面临存托人无法卖出基础证券、存托凭证无法公开交易或转让的风险。此外，存托人可能向本基金收取存托凭证相关费用。</w:t>
      </w:r>
    </w:p>
    <w:p w:rsidR="00E206C7" w:rsidRDefault="00D54E79">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2、其他还包括市场风险、信用风险、管理风险、流动性风险、基金进入清算期的风险、税负增加风险、基金法律文件风险收益特征表述与销售机构基金风险评价可能不一致的风险、技术风险、道德风险、合规风险、不可抗力风险等。</w:t>
      </w:r>
    </w:p>
    <w:p w:rsidR="00E206C7" w:rsidRDefault="00BA5AE0">
      <w:pPr>
        <w:spacing w:line="28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w:p w:rsidR="00E206C7" w:rsidRDefault="00D54E79">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1、中国证监会对本基金募集的注册，并不表明其对本基金的价值和收益作出实质性判断或保证，也不表明投资于本基金没有风险。</w:t>
      </w:r>
    </w:p>
    <w:p w:rsidR="00E206C7" w:rsidRDefault="00D54E79">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2、基金管理人依照恪尽职守、诚实信用、谨慎勤勉的原则管理和运用基金财产，但不保证基金一定盈利，也不保证最低收益。</w:t>
      </w:r>
    </w:p>
    <w:p w:rsidR="00E206C7" w:rsidRDefault="00D54E79">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3、基金投资者自依基金合同取得基金份额，即成为基金份额持有人和基金合同的当事人。</w:t>
      </w:r>
    </w:p>
    <w:p w:rsidR="00E206C7" w:rsidRDefault="00D54E79">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4、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E206C7" w:rsidRDefault="00D54E79">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5、因基金合同而产生的或与基金合同有关的一切争议，如经友好协商未能解决的，任何一方均有权将争议提交中国国际经济贸易仲裁委员会，按照该机构届时有效的仲裁规则进行仲裁。</w:t>
      </w:r>
      <w:bookmarkStart w:id="0" w:name="_GoBack"/>
      <w:r>
        <w:rPr>
          <w:rFonts w:ascii="方正仿宋简体" w:eastAsia="方正仿宋简体" w:hAnsi="方正仿宋简体" w:cs="方正仿宋简体" w:hint="eastAsia"/>
          <w:iCs/>
        </w:rPr>
        <w:t>仲裁地点为北京市。</w:t>
      </w:r>
    </w:p>
    <w:bookmarkEnd w:id="0"/>
    <w:p w:rsidR="00E206C7" w:rsidRDefault="00E206C7">
      <w:pPr>
        <w:autoSpaceDE w:val="0"/>
        <w:autoSpaceDN w:val="0"/>
        <w:adjustRightInd w:val="0"/>
        <w:spacing w:line="280" w:lineRule="exact"/>
        <w:jc w:val="left"/>
        <w:rPr>
          <w:rFonts w:ascii="方正仿宋简体" w:eastAsia="方正仿宋简体"/>
        </w:rPr>
      </w:pPr>
    </w:p>
    <w:p w:rsidR="00E206C7" w:rsidRDefault="00BA5AE0">
      <w:pPr>
        <w:numPr>
          <w:ilvl w:val="0"/>
          <w:numId w:val="10"/>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rsidR="00E206C7" w:rsidRDefault="00D54E79">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以下资料详见基金管理人网站:www.swsmu.com，客服电话:400-880-8588(免长途话费) 或 021-962299</w:t>
      </w:r>
    </w:p>
    <w:p w:rsidR="00E206C7" w:rsidRDefault="00D54E79">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基金合同、托管协议、招募说明书</w:t>
      </w:r>
    </w:p>
    <w:p w:rsidR="00E206C7" w:rsidRDefault="00D54E79">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定期报告，包括基金季度报告、中期报告和年度报告</w:t>
      </w:r>
    </w:p>
    <w:p w:rsidR="00E206C7" w:rsidRDefault="00D54E79">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基金份额净值</w:t>
      </w:r>
    </w:p>
    <w:p w:rsidR="00E206C7" w:rsidRDefault="00D54E79">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基金销售机构及联系方式</w:t>
      </w:r>
    </w:p>
    <w:p w:rsidR="00E206C7" w:rsidRDefault="00D54E79">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其他重要资料</w:t>
      </w:r>
    </w:p>
    <w:p w:rsidR="00E206C7" w:rsidRDefault="00E206C7">
      <w:pPr>
        <w:autoSpaceDE w:val="0"/>
        <w:autoSpaceDN w:val="0"/>
        <w:adjustRightInd w:val="0"/>
        <w:spacing w:line="280" w:lineRule="exact"/>
        <w:jc w:val="left"/>
        <w:rPr>
          <w:rFonts w:ascii="方正仿宋简体" w:eastAsia="方正仿宋简体"/>
        </w:rPr>
      </w:pPr>
    </w:p>
    <w:sectPr w:rsidR="00E206C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E79" w:rsidRDefault="00D54E79" w:rsidP="0092395F">
      <w:r>
        <w:separator/>
      </w:r>
    </w:p>
  </w:endnote>
  <w:endnote w:type="continuationSeparator" w:id="0">
    <w:p w:rsidR="00D54E79" w:rsidRDefault="00D54E79"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rsidR="005C64D0" w:rsidRDefault="005C64D0" w:rsidP="0025315A">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92ED2">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92ED2">
              <w:rPr>
                <w:b/>
                <w:bCs/>
                <w:noProof/>
              </w:rPr>
              <w:t>4</w:t>
            </w:r>
            <w:r>
              <w:rPr>
                <w:b/>
                <w:bCs/>
                <w:sz w:val="24"/>
                <w:szCs w:val="24"/>
              </w:rPr>
              <w:fldChar w:fldCharType="end"/>
            </w:r>
          </w:p>
        </w:sdtContent>
      </w:sdt>
    </w:sdtContent>
  </w:sdt>
  <w:p w:rsidR="005C64D0" w:rsidRDefault="005C64D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E79" w:rsidRDefault="00D54E79" w:rsidP="0092395F">
      <w:r>
        <w:separator/>
      </w:r>
    </w:p>
  </w:footnote>
  <w:footnote w:type="continuationSeparator" w:id="0">
    <w:p w:rsidR="00D54E79" w:rsidRDefault="00D54E79" w:rsidP="0092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3" w15:restartNumberingAfterBreak="0">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C21FE0E"/>
    <w:multiLevelType w:val="singleLevel"/>
    <w:tmpl w:val="5C21FE0E"/>
    <w:lvl w:ilvl="0">
      <w:start w:val="2"/>
      <w:numFmt w:val="chineseCounting"/>
      <w:suff w:val="nothing"/>
      <w:lvlText w:val="（%1）"/>
      <w:lvlJc w:val="left"/>
    </w:lvl>
  </w:abstractNum>
  <w:abstractNum w:abstractNumId="15" w15:restartNumberingAfterBreak="0">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7"/>
  </w:num>
  <w:num w:numId="7">
    <w:abstractNumId w:val="7"/>
  </w:num>
  <w:num w:numId="8">
    <w:abstractNumId w:val="13"/>
  </w:num>
  <w:num w:numId="9">
    <w:abstractNumId w:val="19"/>
  </w:num>
  <w:num w:numId="10">
    <w:abstractNumId w:val="12"/>
  </w:num>
  <w:num w:numId="11">
    <w:abstractNumId w:val="14"/>
  </w:num>
  <w:num w:numId="12">
    <w:abstractNumId w:val="0"/>
  </w:num>
  <w:num w:numId="13">
    <w:abstractNumId w:val="3"/>
  </w:num>
  <w:num w:numId="14">
    <w:abstractNumId w:val="4"/>
  </w:num>
  <w:num w:numId="15">
    <w:abstractNumId w:val="20"/>
  </w:num>
  <w:num w:numId="16">
    <w:abstractNumId w:val="6"/>
  </w:num>
  <w:num w:numId="17">
    <w:abstractNumId w:val="15"/>
  </w:num>
  <w:num w:numId="18">
    <w:abstractNumId w:val="8"/>
  </w:num>
  <w:num w:numId="19">
    <w:abstractNumId w:val="11"/>
  </w:num>
  <w:num w:numId="20">
    <w:abstractNumId w:val="1"/>
  </w:num>
  <w:num w:numId="21">
    <w:abstractNumId w:val="5"/>
  </w:num>
  <w:num w:numId="22">
    <w:abstractNumId w:val="10"/>
  </w:num>
  <w:num w:numId="23">
    <w:abstractNumId w:val="16"/>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81"/>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54AF"/>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67D"/>
    <w:rsid w:val="001351D1"/>
    <w:rsid w:val="00135D07"/>
    <w:rsid w:val="0013609D"/>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36E77"/>
    <w:rsid w:val="002374DD"/>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18F7"/>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0E8"/>
    <w:rsid w:val="00380BCD"/>
    <w:rsid w:val="00381CFE"/>
    <w:rsid w:val="00382845"/>
    <w:rsid w:val="00386A7F"/>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0DA7"/>
    <w:rsid w:val="004F157A"/>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6AE"/>
    <w:rsid w:val="005B68DF"/>
    <w:rsid w:val="005B6AFF"/>
    <w:rsid w:val="005B70B9"/>
    <w:rsid w:val="005B755C"/>
    <w:rsid w:val="005C1A5C"/>
    <w:rsid w:val="005C5197"/>
    <w:rsid w:val="005C64D0"/>
    <w:rsid w:val="005C65CA"/>
    <w:rsid w:val="005C6897"/>
    <w:rsid w:val="005C68EB"/>
    <w:rsid w:val="005C7259"/>
    <w:rsid w:val="005C75B8"/>
    <w:rsid w:val="005C77E0"/>
    <w:rsid w:val="005D013C"/>
    <w:rsid w:val="005D2905"/>
    <w:rsid w:val="005D45F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87021"/>
    <w:rsid w:val="006909BD"/>
    <w:rsid w:val="00690ABF"/>
    <w:rsid w:val="00690BAF"/>
    <w:rsid w:val="006919C2"/>
    <w:rsid w:val="00691DF1"/>
    <w:rsid w:val="006924B3"/>
    <w:rsid w:val="00692ED2"/>
    <w:rsid w:val="0069320A"/>
    <w:rsid w:val="006958E7"/>
    <w:rsid w:val="00697FD6"/>
    <w:rsid w:val="006A0F1D"/>
    <w:rsid w:val="006A1F36"/>
    <w:rsid w:val="006A2869"/>
    <w:rsid w:val="006A409B"/>
    <w:rsid w:val="006A417D"/>
    <w:rsid w:val="006A476E"/>
    <w:rsid w:val="006A4E44"/>
    <w:rsid w:val="006A6105"/>
    <w:rsid w:val="006A6462"/>
    <w:rsid w:val="006A668D"/>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6BC6"/>
    <w:rsid w:val="00750319"/>
    <w:rsid w:val="00751532"/>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C31"/>
    <w:rsid w:val="00872076"/>
    <w:rsid w:val="00872D80"/>
    <w:rsid w:val="0087307E"/>
    <w:rsid w:val="0087384F"/>
    <w:rsid w:val="00873A0F"/>
    <w:rsid w:val="008740C8"/>
    <w:rsid w:val="008745A1"/>
    <w:rsid w:val="008746AF"/>
    <w:rsid w:val="0087523D"/>
    <w:rsid w:val="00877A01"/>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4638"/>
    <w:rsid w:val="008A46F0"/>
    <w:rsid w:val="008A492B"/>
    <w:rsid w:val="008A59EF"/>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15B"/>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04AC4"/>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57C21"/>
    <w:rsid w:val="00B63F25"/>
    <w:rsid w:val="00B66AE9"/>
    <w:rsid w:val="00B66CCF"/>
    <w:rsid w:val="00B67B4E"/>
    <w:rsid w:val="00B67BD4"/>
    <w:rsid w:val="00B70E27"/>
    <w:rsid w:val="00B73113"/>
    <w:rsid w:val="00B745AF"/>
    <w:rsid w:val="00B74FD3"/>
    <w:rsid w:val="00B759F8"/>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47E0"/>
    <w:rsid w:val="00BA515B"/>
    <w:rsid w:val="00BA5AE0"/>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755E"/>
    <w:rsid w:val="00BE0BCB"/>
    <w:rsid w:val="00BE1F92"/>
    <w:rsid w:val="00BE2A1D"/>
    <w:rsid w:val="00BE2C91"/>
    <w:rsid w:val="00BE2F82"/>
    <w:rsid w:val="00BE34CD"/>
    <w:rsid w:val="00BE3A68"/>
    <w:rsid w:val="00BE3D7F"/>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70FFB"/>
    <w:rsid w:val="00C716FD"/>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97AC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0B32"/>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4E79"/>
    <w:rsid w:val="00D55AB8"/>
    <w:rsid w:val="00D56378"/>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E2042"/>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173DD"/>
    <w:rsid w:val="00E20489"/>
    <w:rsid w:val="00E206C7"/>
    <w:rsid w:val="00E20807"/>
    <w:rsid w:val="00E218C9"/>
    <w:rsid w:val="00E2283D"/>
    <w:rsid w:val="00E2391A"/>
    <w:rsid w:val="00E24727"/>
    <w:rsid w:val="00E24912"/>
    <w:rsid w:val="00E27123"/>
    <w:rsid w:val="00E31443"/>
    <w:rsid w:val="00E324E7"/>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618D507-96CF-41F3-A19D-FCCDB85F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037CB"/>
    <w:pPr>
      <w:widowControl w:val="0"/>
      <w:jc w:val="both"/>
    </w:pPr>
  </w:style>
  <w:style w:type="paragraph" w:styleId="1">
    <w:name w:val="heading 1"/>
    <w:basedOn w:val="a4"/>
    <w:next w:val="a4"/>
    <w:link w:val="10"/>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ab"/>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5"/>
    <w:link w:val="aa"/>
    <w:uiPriority w:val="99"/>
    <w:rsid w:val="0092395F"/>
    <w:rPr>
      <w:sz w:val="18"/>
      <w:szCs w:val="18"/>
    </w:rPr>
  </w:style>
  <w:style w:type="paragraph" w:styleId="ac">
    <w:name w:val="footer"/>
    <w:basedOn w:val="a4"/>
    <w:link w:val="ad"/>
    <w:uiPriority w:val="99"/>
    <w:unhideWhenUsed/>
    <w:rsid w:val="0092395F"/>
    <w:pPr>
      <w:tabs>
        <w:tab w:val="center" w:pos="4153"/>
        <w:tab w:val="right" w:pos="8306"/>
      </w:tabs>
      <w:snapToGrid w:val="0"/>
      <w:jc w:val="left"/>
    </w:pPr>
    <w:rPr>
      <w:sz w:val="18"/>
      <w:szCs w:val="18"/>
    </w:rPr>
  </w:style>
  <w:style w:type="character" w:customStyle="1" w:styleId="ad">
    <w:name w:val="页脚 字符"/>
    <w:basedOn w:val="a5"/>
    <w:link w:val="ac"/>
    <w:uiPriority w:val="99"/>
    <w:rsid w:val="0092395F"/>
    <w:rPr>
      <w:sz w:val="18"/>
      <w:szCs w:val="18"/>
    </w:rPr>
  </w:style>
  <w:style w:type="paragraph" w:styleId="ae">
    <w:name w:val="Balloon Text"/>
    <w:basedOn w:val="a4"/>
    <w:link w:val="af"/>
    <w:uiPriority w:val="99"/>
    <w:semiHidden/>
    <w:unhideWhenUsed/>
    <w:rsid w:val="000676AA"/>
    <w:rPr>
      <w:sz w:val="18"/>
      <w:szCs w:val="18"/>
    </w:rPr>
  </w:style>
  <w:style w:type="character" w:customStyle="1" w:styleId="af">
    <w:name w:val="批注框文本 字符"/>
    <w:basedOn w:val="a5"/>
    <w:link w:val="ae"/>
    <w:uiPriority w:val="99"/>
    <w:semiHidden/>
    <w:rsid w:val="000676AA"/>
    <w:rPr>
      <w:sz w:val="18"/>
      <w:szCs w:val="18"/>
    </w:rPr>
  </w:style>
  <w:style w:type="character" w:styleId="af0">
    <w:name w:val="Placeholder Text"/>
    <w:basedOn w:val="a5"/>
    <w:uiPriority w:val="99"/>
    <w:semiHidden/>
    <w:rsid w:val="008B7E39"/>
    <w:rPr>
      <w:color w:val="808080"/>
    </w:rPr>
  </w:style>
  <w:style w:type="character" w:styleId="af1">
    <w:name w:val="footnote reference"/>
    <w:unhideWhenUsed/>
    <w:qFormat/>
    <w:rsid w:val="00CC22C3"/>
    <w:rPr>
      <w:rFonts w:ascii="Times New Roman" w:eastAsia="宋体" w:hAnsi="Times New Roman" w:cs="Times New Roman"/>
      <w:vertAlign w:val="superscript"/>
    </w:rPr>
  </w:style>
  <w:style w:type="paragraph" w:styleId="af2">
    <w:name w:val="footnote text"/>
    <w:basedOn w:val="a4"/>
    <w:link w:val="af3"/>
    <w:unhideWhenUsed/>
    <w:qFormat/>
    <w:rsid w:val="00CC22C3"/>
    <w:pPr>
      <w:snapToGrid w:val="0"/>
      <w:jc w:val="left"/>
    </w:pPr>
    <w:rPr>
      <w:rFonts w:ascii="Calibri" w:eastAsia="宋体" w:hAnsi="Calibri" w:cs="Times New Roman"/>
      <w:sz w:val="18"/>
      <w:szCs w:val="24"/>
    </w:rPr>
  </w:style>
  <w:style w:type="character" w:customStyle="1" w:styleId="af3">
    <w:name w:val="脚注文本 字符"/>
    <w:basedOn w:val="a5"/>
    <w:link w:val="af2"/>
    <w:qFormat/>
    <w:rsid w:val="00CC22C3"/>
    <w:rPr>
      <w:rFonts w:ascii="Calibri" w:eastAsia="宋体" w:hAnsi="Calibri" w:cs="Times New Roman"/>
      <w:sz w:val="18"/>
      <w:szCs w:val="24"/>
    </w:rPr>
  </w:style>
  <w:style w:type="character" w:customStyle="1" w:styleId="10">
    <w:name w:val="标题 1 字符"/>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36D92"/>
    <w:rsid w:val="00037D35"/>
    <w:rsid w:val="000414FB"/>
    <w:rsid w:val="00055C5C"/>
    <w:rsid w:val="00081F33"/>
    <w:rsid w:val="000835AF"/>
    <w:rsid w:val="000835C7"/>
    <w:rsid w:val="00084051"/>
    <w:rsid w:val="0009147D"/>
    <w:rsid w:val="000B2B16"/>
    <w:rsid w:val="000D2086"/>
    <w:rsid w:val="000D3417"/>
    <w:rsid w:val="000F2290"/>
    <w:rsid w:val="000F2FFF"/>
    <w:rsid w:val="001123EE"/>
    <w:rsid w:val="00112FFF"/>
    <w:rsid w:val="0011621F"/>
    <w:rsid w:val="00116BAE"/>
    <w:rsid w:val="00121599"/>
    <w:rsid w:val="00127EA3"/>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311442"/>
    <w:rsid w:val="003118D2"/>
    <w:rsid w:val="003127BE"/>
    <w:rsid w:val="00317044"/>
    <w:rsid w:val="0032290F"/>
    <w:rsid w:val="00323BFD"/>
    <w:rsid w:val="00323DC1"/>
    <w:rsid w:val="00331623"/>
    <w:rsid w:val="00332AF2"/>
    <w:rsid w:val="0034367B"/>
    <w:rsid w:val="003550EA"/>
    <w:rsid w:val="0037121C"/>
    <w:rsid w:val="0037514E"/>
    <w:rsid w:val="003768D0"/>
    <w:rsid w:val="0039391C"/>
    <w:rsid w:val="00397AFA"/>
    <w:rsid w:val="003A3ADA"/>
    <w:rsid w:val="003B1735"/>
    <w:rsid w:val="003B4534"/>
    <w:rsid w:val="003E567A"/>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10D0B"/>
    <w:rsid w:val="005130EE"/>
    <w:rsid w:val="0051671B"/>
    <w:rsid w:val="00524944"/>
    <w:rsid w:val="00525FD4"/>
    <w:rsid w:val="00545CDB"/>
    <w:rsid w:val="00547167"/>
    <w:rsid w:val="0054769E"/>
    <w:rsid w:val="0056128D"/>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340F8"/>
    <w:rsid w:val="00637E49"/>
    <w:rsid w:val="00656E21"/>
    <w:rsid w:val="00660FB7"/>
    <w:rsid w:val="00662A61"/>
    <w:rsid w:val="00666964"/>
    <w:rsid w:val="00672BB9"/>
    <w:rsid w:val="00680145"/>
    <w:rsid w:val="006A0AEA"/>
    <w:rsid w:val="006A662C"/>
    <w:rsid w:val="006A70D1"/>
    <w:rsid w:val="006F084B"/>
    <w:rsid w:val="006F6C75"/>
    <w:rsid w:val="00702727"/>
    <w:rsid w:val="0071246B"/>
    <w:rsid w:val="00725A42"/>
    <w:rsid w:val="00754982"/>
    <w:rsid w:val="007612BB"/>
    <w:rsid w:val="00784909"/>
    <w:rsid w:val="007A7321"/>
    <w:rsid w:val="007B250C"/>
    <w:rsid w:val="007B2945"/>
    <w:rsid w:val="007B519F"/>
    <w:rsid w:val="007C1EAF"/>
    <w:rsid w:val="007D01E7"/>
    <w:rsid w:val="007D3D18"/>
    <w:rsid w:val="007F7D90"/>
    <w:rsid w:val="00801DA5"/>
    <w:rsid w:val="00805628"/>
    <w:rsid w:val="008067A7"/>
    <w:rsid w:val="0081476F"/>
    <w:rsid w:val="0081559D"/>
    <w:rsid w:val="00823337"/>
    <w:rsid w:val="0082630F"/>
    <w:rsid w:val="00826E9C"/>
    <w:rsid w:val="0084214F"/>
    <w:rsid w:val="0084724A"/>
    <w:rsid w:val="008509BD"/>
    <w:rsid w:val="008538C1"/>
    <w:rsid w:val="00854210"/>
    <w:rsid w:val="008648F5"/>
    <w:rsid w:val="00866A53"/>
    <w:rsid w:val="008909A1"/>
    <w:rsid w:val="008C6D32"/>
    <w:rsid w:val="008D3C70"/>
    <w:rsid w:val="008E2916"/>
    <w:rsid w:val="008F7AF8"/>
    <w:rsid w:val="008F7FB3"/>
    <w:rsid w:val="00910055"/>
    <w:rsid w:val="00910D55"/>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634B"/>
    <w:rsid w:val="009C70B7"/>
    <w:rsid w:val="009D499B"/>
    <w:rsid w:val="009E3812"/>
    <w:rsid w:val="009E4011"/>
    <w:rsid w:val="00A11BB6"/>
    <w:rsid w:val="00A1561D"/>
    <w:rsid w:val="00A174E0"/>
    <w:rsid w:val="00A22C1C"/>
    <w:rsid w:val="00A22CE8"/>
    <w:rsid w:val="00A26726"/>
    <w:rsid w:val="00A31566"/>
    <w:rsid w:val="00A36E27"/>
    <w:rsid w:val="00A516D0"/>
    <w:rsid w:val="00A819EC"/>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711BE"/>
    <w:rsid w:val="00B721A6"/>
    <w:rsid w:val="00B72A18"/>
    <w:rsid w:val="00BA5037"/>
    <w:rsid w:val="00BB13D0"/>
    <w:rsid w:val="00BC76C1"/>
    <w:rsid w:val="00BE3A19"/>
    <w:rsid w:val="00C028B9"/>
    <w:rsid w:val="00C05682"/>
    <w:rsid w:val="00C1398E"/>
    <w:rsid w:val="00C40B53"/>
    <w:rsid w:val="00C5536D"/>
    <w:rsid w:val="00C61415"/>
    <w:rsid w:val="00C67CCE"/>
    <w:rsid w:val="00C7118A"/>
    <w:rsid w:val="00CA460C"/>
    <w:rsid w:val="00CB1B6B"/>
    <w:rsid w:val="00CC1AAA"/>
    <w:rsid w:val="00CE6AB0"/>
    <w:rsid w:val="00CF0507"/>
    <w:rsid w:val="00CF5CDA"/>
    <w:rsid w:val="00D0728A"/>
    <w:rsid w:val="00D260CA"/>
    <w:rsid w:val="00D30032"/>
    <w:rsid w:val="00D376AC"/>
    <w:rsid w:val="00D45D4A"/>
    <w:rsid w:val="00D50042"/>
    <w:rsid w:val="00D5681E"/>
    <w:rsid w:val="00D6090D"/>
    <w:rsid w:val="00D671B3"/>
    <w:rsid w:val="00D77D75"/>
    <w:rsid w:val="00D85672"/>
    <w:rsid w:val="00D936E1"/>
    <w:rsid w:val="00D946FD"/>
    <w:rsid w:val="00D954AA"/>
    <w:rsid w:val="00D9576B"/>
    <w:rsid w:val="00DC0CFB"/>
    <w:rsid w:val="00DC1024"/>
    <w:rsid w:val="00DE743A"/>
    <w:rsid w:val="00E051D8"/>
    <w:rsid w:val="00E23412"/>
    <w:rsid w:val="00E62A28"/>
    <w:rsid w:val="00E80993"/>
    <w:rsid w:val="00E933BE"/>
    <w:rsid w:val="00EA022C"/>
    <w:rsid w:val="00EA551D"/>
    <w:rsid w:val="00EB4AFA"/>
    <w:rsid w:val="00EC052D"/>
    <w:rsid w:val="00EE2435"/>
    <w:rsid w:val="00EF1ACC"/>
    <w:rsid w:val="00EF3FC1"/>
    <w:rsid w:val="00F05E3F"/>
    <w:rsid w:val="00F11153"/>
    <w:rsid w:val="00F1504D"/>
    <w:rsid w:val="00F15E85"/>
    <w:rsid w:val="00F2521D"/>
    <w:rsid w:val="00F27F58"/>
    <w:rsid w:val="00F5276A"/>
    <w:rsid w:val="00F745F4"/>
    <w:rsid w:val="00F81BE9"/>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4E176-C62C-4637-8B37-B29B0C72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2299</Words>
  <Characters>2323</Characters>
  <Application>Microsoft Office Word</Application>
  <DocSecurity>0</DocSecurity>
  <Lines>92</Lines>
  <Paragraphs>82</Paragraphs>
  <ScaleCrop>false</ScaleCrop>
  <Company>shenduxitong</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Donghm</dc:creator>
  <cp:lastModifiedBy>张淑静</cp:lastModifiedBy>
  <cp:revision>2</cp:revision>
  <dcterms:created xsi:type="dcterms:W3CDTF">2023-04-12T07:14:00Z</dcterms:created>
  <dcterms:modified xsi:type="dcterms:W3CDTF">2023-04-12T07:14:00Z</dcterms:modified>
</cp:coreProperties>
</file>