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</w:p>
    <w:p>
      <w:pPr>
        <w:pStyle w:val="10"/>
      </w:pPr>
    </w:p>
    <w:p>
      <w:pPr>
        <w:jc w:val="center"/>
        <w:rPr>
          <w:rFonts w:hint="eastAsia"/>
        </w:rPr>
      </w:pPr>
      <w:r>
        <w:rPr>
          <w:rFonts w:hint="eastAsia"/>
          <w:lang w:val="en-US" w:eastAsia="zh-CN"/>
        </w:rPr>
        <w:t>康得退</w:t>
      </w:r>
      <w:r>
        <w:rPr>
          <w:rFonts w:hint="eastAsia"/>
        </w:rPr>
        <w:t>进入退市整理期</w:t>
      </w:r>
      <w:r>
        <w:rPr>
          <w:rFonts w:hint="eastAsia"/>
          <w:lang w:val="en-US" w:eastAsia="zh-CN"/>
        </w:rPr>
        <w:t>第九次</w:t>
      </w:r>
      <w:r>
        <w:rPr>
          <w:rFonts w:hint="eastAsia"/>
        </w:rPr>
        <w:t>风险提示公告</w:t>
      </w:r>
    </w:p>
    <w:p>
      <w:pPr>
        <w:jc w:val="center"/>
        <w:rPr>
          <w:rFonts w:hint="eastAsia"/>
        </w:rPr>
      </w:pPr>
    </w:p>
    <w:p>
      <w:bookmarkStart w:id="0" w:name="OLE_LINK1"/>
      <w:r>
        <w:rPr>
          <w:rFonts w:hint="eastAsia"/>
        </w:rPr>
        <w:t>尊敬的客户：</w:t>
      </w:r>
    </w:p>
    <w:p>
      <w:pPr>
        <w:ind w:firstLine="420"/>
        <w:jc w:val="left"/>
      </w:pPr>
      <w:r>
        <w:rPr>
          <w:rFonts w:hint="eastAsia"/>
          <w:lang w:val="en-US" w:eastAsia="zh-CN"/>
        </w:rPr>
        <w:t>*ST康得</w:t>
      </w:r>
      <w:r>
        <w:rPr>
          <w:rFonts w:hint="eastAsia"/>
        </w:rPr>
        <w:t>（</w:t>
      </w:r>
      <w:r>
        <w:rPr>
          <w:rFonts w:hint="eastAsia"/>
          <w:lang w:val="en-US" w:eastAsia="zh-CN"/>
        </w:rPr>
        <w:t>002450</w:t>
      </w:r>
      <w:r>
        <w:rPr>
          <w:rFonts w:hint="eastAsia"/>
        </w:rPr>
        <w:t>）于2</w:t>
      </w:r>
      <w:r>
        <w:t>0</w:t>
      </w:r>
      <w:r>
        <w:rPr>
          <w:rFonts w:hint="eastAsia"/>
          <w:lang w:val="en-US" w:eastAsia="zh-CN"/>
        </w:rPr>
        <w:t>21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14</w:t>
      </w:r>
      <w:r>
        <w:rPr>
          <w:rFonts w:hint="eastAsia"/>
        </w:rPr>
        <w:t>日进入退市整理期，在</w:t>
      </w:r>
      <w:r>
        <w:t>退市整理期交易 30 个交易日后公司股票将被摘牌</w:t>
      </w:r>
      <w:r>
        <w:rPr>
          <w:rFonts w:hint="eastAsia"/>
        </w:rPr>
        <w:t>，</w:t>
      </w:r>
      <w:r>
        <w:rPr>
          <w:rFonts w:hint="eastAsia"/>
          <w:highlight w:val="yellow"/>
        </w:rPr>
        <w:t>截至2</w:t>
      </w:r>
      <w:r>
        <w:rPr>
          <w:highlight w:val="yellow"/>
        </w:rPr>
        <w:t>02</w:t>
      </w:r>
      <w:r>
        <w:rPr>
          <w:rFonts w:hint="eastAsia"/>
          <w:highlight w:val="yellow"/>
          <w:lang w:val="en-US" w:eastAsia="zh-CN"/>
        </w:rPr>
        <w:t>1</w:t>
      </w:r>
      <w:r>
        <w:rPr>
          <w:rFonts w:hint="eastAsia"/>
          <w:highlight w:val="yellow"/>
        </w:rPr>
        <w:t>年</w:t>
      </w:r>
      <w:r>
        <w:rPr>
          <w:rFonts w:hint="eastAsia"/>
          <w:highlight w:val="yellow"/>
          <w:lang w:val="en-US" w:eastAsia="zh-CN"/>
        </w:rPr>
        <w:t>5</w:t>
      </w:r>
      <w:r>
        <w:rPr>
          <w:rFonts w:hint="eastAsia"/>
          <w:highlight w:val="yellow"/>
        </w:rPr>
        <w:t>月</w:t>
      </w:r>
      <w:r>
        <w:rPr>
          <w:rFonts w:hint="eastAsia"/>
          <w:highlight w:val="yellow"/>
          <w:lang w:val="en-US" w:eastAsia="zh-CN"/>
        </w:rPr>
        <w:t>26</w:t>
      </w:r>
      <w:r>
        <w:rPr>
          <w:rFonts w:hint="eastAsia"/>
          <w:highlight w:val="yellow"/>
        </w:rPr>
        <w:t>日</w:t>
      </w:r>
      <w:r>
        <w:rPr>
          <w:rFonts w:hint="eastAsia"/>
          <w:highlight w:val="yellow"/>
          <w:lang w:eastAsia="zh-CN"/>
        </w:rPr>
        <w:t>（</w:t>
      </w:r>
      <w:r>
        <w:rPr>
          <w:rFonts w:hint="eastAsia"/>
          <w:highlight w:val="yellow"/>
          <w:lang w:val="en-US" w:eastAsia="zh-CN"/>
        </w:rPr>
        <w:t>含今日</w:t>
      </w:r>
      <w:r>
        <w:rPr>
          <w:rFonts w:hint="eastAsia"/>
          <w:highlight w:val="yellow"/>
          <w:lang w:eastAsia="zh-CN"/>
        </w:rPr>
        <w:t>）</w:t>
      </w:r>
      <w:r>
        <w:rPr>
          <w:rFonts w:hint="eastAsia"/>
          <w:highlight w:val="yellow"/>
        </w:rPr>
        <w:t>已交易</w:t>
      </w:r>
      <w:r>
        <w:rPr>
          <w:rFonts w:hint="eastAsia"/>
          <w:highlight w:val="yellow"/>
          <w:lang w:val="en-US" w:eastAsia="zh-CN"/>
        </w:rPr>
        <w:t>28</w:t>
      </w:r>
      <w:r>
        <w:rPr>
          <w:rFonts w:hint="eastAsia"/>
          <w:highlight w:val="yellow"/>
        </w:rPr>
        <w:t>个交易日，剩余</w:t>
      </w:r>
      <w:r>
        <w:rPr>
          <w:rFonts w:hint="eastAsia"/>
          <w:highlight w:val="yellow"/>
          <w:lang w:val="en-US" w:eastAsia="zh-CN"/>
        </w:rPr>
        <w:t>2</w:t>
      </w:r>
      <w:r>
        <w:rPr>
          <w:rFonts w:hint="eastAsia"/>
          <w:highlight w:val="yellow"/>
        </w:rPr>
        <w:t>个交易日</w:t>
      </w:r>
      <w:r>
        <w:rPr>
          <w:rFonts w:hint="eastAsia"/>
        </w:rPr>
        <w:t>，预计最后交易日期</w:t>
      </w:r>
      <w:r>
        <w:rPr>
          <w:rFonts w:hint="eastAsia"/>
          <w:color w:val="auto"/>
          <w:highlight w:val="none"/>
        </w:rPr>
        <w:t>为20</w:t>
      </w:r>
      <w:r>
        <w:rPr>
          <w:rFonts w:hint="eastAsia"/>
          <w:color w:val="auto"/>
          <w:highlight w:val="none"/>
          <w:lang w:val="en-US" w:eastAsia="zh-CN"/>
        </w:rPr>
        <w:t>21</w:t>
      </w:r>
      <w:r>
        <w:rPr>
          <w:rFonts w:hint="eastAsia"/>
          <w:color w:val="auto"/>
          <w:highlight w:val="none"/>
        </w:rPr>
        <w:t>年</w:t>
      </w:r>
      <w:r>
        <w:rPr>
          <w:rFonts w:hint="eastAsia"/>
          <w:color w:val="auto"/>
          <w:highlight w:val="none"/>
          <w:lang w:val="en-US" w:eastAsia="zh-CN"/>
        </w:rPr>
        <w:t>5</w:t>
      </w:r>
      <w:r>
        <w:rPr>
          <w:rFonts w:hint="eastAsia"/>
          <w:color w:val="auto"/>
          <w:highlight w:val="none"/>
        </w:rPr>
        <w:t>月</w:t>
      </w:r>
      <w:r>
        <w:rPr>
          <w:rFonts w:hint="eastAsia"/>
          <w:color w:val="auto"/>
          <w:highlight w:val="none"/>
          <w:lang w:val="en-US" w:eastAsia="zh-CN"/>
        </w:rPr>
        <w:t>28</w:t>
      </w:r>
      <w:r>
        <w:rPr>
          <w:rFonts w:hint="eastAsia"/>
          <w:color w:val="auto"/>
          <w:highlight w:val="none"/>
        </w:rPr>
        <w:t>日，</w:t>
      </w:r>
      <w:r>
        <w:t>敬请投资者审慎投资、注意风险。</w:t>
      </w:r>
    </w:p>
    <w:p>
      <w:pPr>
        <w:ind w:firstLine="420"/>
        <w:rPr>
          <w:rFonts w:hint="eastAsia"/>
        </w:rPr>
      </w:pPr>
      <w:r>
        <w:rPr>
          <w:rFonts w:hint="eastAsia"/>
        </w:rPr>
        <w:t>详见：</w:t>
      </w:r>
    </w:p>
    <w:bookmarkEnd w:id="0"/>
    <w:p>
      <w:pPr>
        <w:ind w:firstLine="420"/>
      </w:pPr>
      <w:r>
        <w:rPr>
          <w:rFonts w:hint="eastAsia"/>
          <w:szCs w:val="21"/>
          <w:highlight w:val="yellow"/>
        </w:rPr>
        <w:t>http://www.szse.cn/disclosure/listed/bulletinDetail/index.html?a15f1571-a594-4e25-9999-8cc9c19bec18</w:t>
      </w:r>
      <w:r>
        <w:t xml:space="preserve"> </w:t>
      </w:r>
    </w:p>
    <w:p>
      <w:pPr>
        <w:ind w:firstLine="4410" w:firstLineChars="2100"/>
      </w:pPr>
      <w:r>
        <w:t xml:space="preserve">  </w:t>
      </w:r>
      <w:r>
        <w:rPr>
          <w:rFonts w:hint="eastAsia"/>
        </w:rPr>
        <w:t>川财</w:t>
      </w:r>
      <w:r>
        <w:t>证券有限责任公司</w:t>
      </w:r>
    </w:p>
    <w:p>
      <w:pPr>
        <w:ind w:firstLine="420"/>
        <w:rPr>
          <w:highlight w:val="yellow"/>
        </w:rPr>
      </w:pPr>
      <w:r>
        <w:rPr>
          <w:rFonts w:hint="eastAsia"/>
        </w:rPr>
        <w:t xml:space="preserve">            </w:t>
      </w:r>
      <w:r>
        <w:t xml:space="preserve">                          </w:t>
      </w:r>
      <w:r>
        <w:rPr>
          <w:rFonts w:hint="eastAsia"/>
        </w:rPr>
        <w:t xml:space="preserve">     </w:t>
      </w:r>
      <w:r>
        <w:rPr>
          <w:rFonts w:hint="eastAsia"/>
          <w:highlight w:val="yellow"/>
        </w:rPr>
        <w:t xml:space="preserve">  20</w:t>
      </w:r>
      <w:r>
        <w:rPr>
          <w:highlight w:val="yellow"/>
        </w:rPr>
        <w:t>2</w:t>
      </w:r>
      <w:r>
        <w:rPr>
          <w:rFonts w:hint="eastAsia"/>
          <w:highlight w:val="yellow"/>
          <w:lang w:val="en-US" w:eastAsia="zh-CN"/>
        </w:rPr>
        <w:t>1</w:t>
      </w:r>
      <w:r>
        <w:rPr>
          <w:rFonts w:hint="eastAsia"/>
          <w:highlight w:val="yellow"/>
        </w:rPr>
        <w:t>年</w:t>
      </w:r>
      <w:r>
        <w:rPr>
          <w:rFonts w:hint="eastAsia"/>
          <w:highlight w:val="yellow"/>
          <w:lang w:val="en-US" w:eastAsia="zh-CN"/>
        </w:rPr>
        <w:t>5</w:t>
      </w:r>
      <w:r>
        <w:rPr>
          <w:rFonts w:hint="eastAsia"/>
          <w:highlight w:val="yellow"/>
        </w:rPr>
        <w:t>月</w:t>
      </w:r>
      <w:r>
        <w:rPr>
          <w:rFonts w:hint="eastAsia"/>
          <w:highlight w:val="yellow"/>
          <w:lang w:val="en-US" w:eastAsia="zh-CN"/>
        </w:rPr>
        <w:t>26</w:t>
      </w:r>
      <w:bookmarkStart w:id="1" w:name="_GoBack"/>
      <w:bookmarkEnd w:id="1"/>
      <w:r>
        <w:rPr>
          <w:rFonts w:hint="eastAsia"/>
          <w:highlight w:val="yellow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595"/>
    <w:rsid w:val="00031894"/>
    <w:rsid w:val="00041B11"/>
    <w:rsid w:val="000B5D79"/>
    <w:rsid w:val="000D7769"/>
    <w:rsid w:val="000F1920"/>
    <w:rsid w:val="00112EA0"/>
    <w:rsid w:val="00115645"/>
    <w:rsid w:val="00122ED0"/>
    <w:rsid w:val="0012736C"/>
    <w:rsid w:val="001340BA"/>
    <w:rsid w:val="001C4601"/>
    <w:rsid w:val="001F22AF"/>
    <w:rsid w:val="00213738"/>
    <w:rsid w:val="00252CE0"/>
    <w:rsid w:val="0026055C"/>
    <w:rsid w:val="002D00CD"/>
    <w:rsid w:val="002D4344"/>
    <w:rsid w:val="00327C7B"/>
    <w:rsid w:val="0033753B"/>
    <w:rsid w:val="00350A66"/>
    <w:rsid w:val="003745AF"/>
    <w:rsid w:val="003C1FDB"/>
    <w:rsid w:val="003D79D7"/>
    <w:rsid w:val="004127B1"/>
    <w:rsid w:val="00421758"/>
    <w:rsid w:val="00475AEF"/>
    <w:rsid w:val="0049023D"/>
    <w:rsid w:val="004D4375"/>
    <w:rsid w:val="004E3458"/>
    <w:rsid w:val="004F56CB"/>
    <w:rsid w:val="00500108"/>
    <w:rsid w:val="00544A66"/>
    <w:rsid w:val="00557FCB"/>
    <w:rsid w:val="006350BF"/>
    <w:rsid w:val="0064412D"/>
    <w:rsid w:val="006942D0"/>
    <w:rsid w:val="00694565"/>
    <w:rsid w:val="006A02C2"/>
    <w:rsid w:val="007223E6"/>
    <w:rsid w:val="007238F3"/>
    <w:rsid w:val="0072641B"/>
    <w:rsid w:val="007544AC"/>
    <w:rsid w:val="00754C94"/>
    <w:rsid w:val="007D5583"/>
    <w:rsid w:val="00842F87"/>
    <w:rsid w:val="008B2DF9"/>
    <w:rsid w:val="008D0A4C"/>
    <w:rsid w:val="008D5565"/>
    <w:rsid w:val="008E0B59"/>
    <w:rsid w:val="00913C52"/>
    <w:rsid w:val="00944327"/>
    <w:rsid w:val="009919FB"/>
    <w:rsid w:val="009B0B3E"/>
    <w:rsid w:val="009B5685"/>
    <w:rsid w:val="009C52EA"/>
    <w:rsid w:val="00A1011B"/>
    <w:rsid w:val="00B1085E"/>
    <w:rsid w:val="00B7161F"/>
    <w:rsid w:val="00BA4AAB"/>
    <w:rsid w:val="00C12967"/>
    <w:rsid w:val="00C83986"/>
    <w:rsid w:val="00CA2F4F"/>
    <w:rsid w:val="00CC44C2"/>
    <w:rsid w:val="00CC7C21"/>
    <w:rsid w:val="00CE11F2"/>
    <w:rsid w:val="00CF0760"/>
    <w:rsid w:val="00D17A1F"/>
    <w:rsid w:val="00D271A4"/>
    <w:rsid w:val="00D44CEA"/>
    <w:rsid w:val="00D52408"/>
    <w:rsid w:val="00D75C09"/>
    <w:rsid w:val="00D760A3"/>
    <w:rsid w:val="00E44359"/>
    <w:rsid w:val="00E6018B"/>
    <w:rsid w:val="00E804C9"/>
    <w:rsid w:val="00F94595"/>
    <w:rsid w:val="00F9598D"/>
    <w:rsid w:val="00F95F87"/>
    <w:rsid w:val="00FB0E80"/>
    <w:rsid w:val="03125F8D"/>
    <w:rsid w:val="04246319"/>
    <w:rsid w:val="07843E2D"/>
    <w:rsid w:val="0C443A1A"/>
    <w:rsid w:val="0D604077"/>
    <w:rsid w:val="0F5650C9"/>
    <w:rsid w:val="1EE83608"/>
    <w:rsid w:val="27163A81"/>
    <w:rsid w:val="32014B67"/>
    <w:rsid w:val="38B86220"/>
    <w:rsid w:val="4815221A"/>
    <w:rsid w:val="4C334AF4"/>
    <w:rsid w:val="4DD63E75"/>
    <w:rsid w:val="584B2C3F"/>
    <w:rsid w:val="5A3F56DD"/>
    <w:rsid w:val="679852D4"/>
    <w:rsid w:val="6EF67408"/>
    <w:rsid w:val="76B2162B"/>
    <w:rsid w:val="78593873"/>
    <w:rsid w:val="7B5C2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9">
    <w:name w:val="Unresolved Mention"/>
    <w:basedOn w:val="5"/>
    <w:semiHidden/>
    <w:unhideWhenUsed/>
    <w:qFormat/>
    <w:uiPriority w:val="99"/>
    <w:rPr>
      <w:color w:val="808080"/>
      <w:shd w:val="clear" w:color="auto" w:fill="E6E6E6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eastAsia="黑体" w:cs="黑体" w:hAnsiTheme="minorHAnsi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</Words>
  <Characters>315</Characters>
  <Lines>2</Lines>
  <Paragraphs>1</Paragraphs>
  <TotalTime>33</TotalTime>
  <ScaleCrop>false</ScaleCrop>
  <LinksUpToDate>false</LinksUpToDate>
  <CharactersWithSpaces>369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2020-04-30T01:34:00Z</dcterms:created>
  <dc:creator>OCD-1065-2</dc:creator>
  <cp:lastModifiedBy>￥至尊披萨￥</cp:lastModifiedBy>
  <dcterms:modified xsi:type="dcterms:W3CDTF">2021-05-26T00:35:57Z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